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188CBB51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077C4F">
        <w:rPr>
          <w:rFonts w:ascii="Montserrat" w:hAnsi="Montserrat" w:cs="Arial"/>
          <w:sz w:val="22"/>
          <w:szCs w:val="22"/>
        </w:rPr>
        <w:t>0</w:t>
      </w:r>
      <w:r w:rsidR="000E79A5">
        <w:rPr>
          <w:rFonts w:ascii="Montserrat" w:hAnsi="Montserrat" w:cs="Arial"/>
          <w:sz w:val="22"/>
          <w:szCs w:val="22"/>
        </w:rPr>
        <w:t>6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0E79A5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5697E8CB" w14:textId="63F07FA7" w:rsidR="00225609" w:rsidRDefault="00E31927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1F219167" w:rsidR="000E79A5" w:rsidRPr="00F2436D" w:rsidRDefault="000E79A5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 xml:space="preserve">e) 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36496C06" w:rsidR="00F2436D" w:rsidRDefault="000E79A5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94.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01F8EBAD" w:rsidR="00225609" w:rsidRPr="00A16DF7" w:rsidRDefault="000E79A5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Manual de Crédito que contenga los proceso, metodologías y procedimientos que permitan realizar la originación y administración de los créditos de FIFOMI, autorizado y vigente en 2023.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3AB26638" w14:textId="1962BE00" w:rsidR="00F2436D" w:rsidRPr="002317C5" w:rsidRDefault="00D6453D" w:rsidP="00383971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Se adjunta</w:t>
      </w:r>
      <w:r w:rsidR="000E79A5">
        <w:rPr>
          <w:rFonts w:ascii="Montserrat" w:hAnsi="Montserrat" w:cs="Arial"/>
          <w:bCs/>
          <w:sz w:val="22"/>
          <w:szCs w:val="22"/>
        </w:rPr>
        <w:t xml:space="preserve"> el Manual de Crédito y sus correspondientes Anexos vigentes durante el periodo 2023.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630"/>
        <w:gridCol w:w="4318"/>
        <w:gridCol w:w="3452"/>
      </w:tblGrid>
      <w:tr w:rsidR="00127377" w:rsidRPr="00B55534" w14:paraId="6B7779A4" w14:textId="77777777" w:rsidTr="000E79A5">
        <w:trPr>
          <w:jc w:val="center"/>
        </w:trPr>
        <w:tc>
          <w:tcPr>
            <w:tcW w:w="867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297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836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0E79A5">
        <w:trPr>
          <w:trHeight w:val="469"/>
          <w:jc w:val="center"/>
        </w:trPr>
        <w:tc>
          <w:tcPr>
            <w:tcW w:w="867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297" w:type="pct"/>
            <w:vAlign w:val="center"/>
          </w:tcPr>
          <w:p w14:paraId="671C99F5" w14:textId="3C1712D3" w:rsidR="00127377" w:rsidRPr="00B55534" w:rsidRDefault="000E79A5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Manual de Crédito y Anexos 2023</w:t>
            </w:r>
          </w:p>
        </w:tc>
        <w:tc>
          <w:tcPr>
            <w:tcW w:w="1836" w:type="pct"/>
            <w:vAlign w:val="center"/>
          </w:tcPr>
          <w:p w14:paraId="4F4B325B" w14:textId="1C5E223B" w:rsidR="00127377" w:rsidRPr="00B55534" w:rsidRDefault="00E31927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>I.</w:t>
            </w:r>
            <w:r w:rsidR="000E79A5">
              <w:rPr>
                <w:rFonts w:ascii="Montserrat" w:hAnsi="Montserrat"/>
                <w:sz w:val="22"/>
                <w:szCs w:val="22"/>
                <w:lang w:eastAsia="es-MX"/>
              </w:rPr>
              <w:t>94. ManualCrédito_Mayo23</w:t>
            </w:r>
          </w:p>
        </w:tc>
      </w:tr>
    </w:tbl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6940DEFF" w14:textId="77777777" w:rsidR="000E79A5" w:rsidRDefault="000E79A5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3C55E72E" w14:textId="77777777" w:rsidR="000E79A5" w:rsidRDefault="000E79A5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E4B75C9" w14:textId="77777777" w:rsidR="000E79A5" w:rsidRDefault="000E79A5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3844F380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2771ABA1" w14:textId="77777777" w:rsidR="000E79A5" w:rsidRDefault="000E79A5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759B253D" w:rsidR="000E79A5" w:rsidRDefault="000E79A5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4014C2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2ABB4BE7" w14:textId="77777777" w:rsidR="000E79A5" w:rsidRDefault="000E79A5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20E1E149" w:rsidR="000E79A5" w:rsidRDefault="000E79A5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19306427" w14:textId="3FF28E3D" w:rsidR="00AB5BE2" w:rsidRPr="000E79A5" w:rsidRDefault="00655507" w:rsidP="000E79A5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sectPr w:rsidR="00AB5BE2" w:rsidRPr="000E79A5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0E79A5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5037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1927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4</cp:revision>
  <cp:lastPrinted>2021-10-01T15:14:00Z</cp:lastPrinted>
  <dcterms:created xsi:type="dcterms:W3CDTF">2024-03-06T23:19:00Z</dcterms:created>
  <dcterms:modified xsi:type="dcterms:W3CDTF">2024-03-14T00:28:00Z</dcterms:modified>
</cp:coreProperties>
</file>