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3CC6D1DC"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077C4F">
        <w:rPr>
          <w:rFonts w:ascii="Montserrat" w:hAnsi="Montserrat" w:cs="Arial"/>
          <w:sz w:val="22"/>
          <w:szCs w:val="22"/>
        </w:rPr>
        <w:t>1</w:t>
      </w:r>
      <w:r w:rsidR="006722DE">
        <w:rPr>
          <w:rFonts w:ascii="Montserrat" w:hAnsi="Montserrat" w:cs="Arial"/>
          <w:sz w:val="22"/>
          <w:szCs w:val="22"/>
        </w:rPr>
        <w:t>2</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6722DE">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6CA9F6DE" w14:textId="77777777" w:rsidR="00225609" w:rsidRDefault="00D6453D" w:rsidP="00F2436D">
            <w:pPr>
              <w:tabs>
                <w:tab w:val="left" w:pos="1005"/>
              </w:tabs>
              <w:rPr>
                <w:rFonts w:ascii="Montserrat" w:hAnsi="Montserrat" w:cs="Arial"/>
                <w:b/>
                <w:sz w:val="22"/>
                <w:szCs w:val="22"/>
              </w:rPr>
            </w:pPr>
            <w:r>
              <w:rPr>
                <w:rFonts w:ascii="Montserrat" w:hAnsi="Montserrat" w:cs="Arial"/>
                <w:b/>
                <w:sz w:val="22"/>
                <w:szCs w:val="22"/>
              </w:rPr>
              <w:t>I</w:t>
            </w:r>
            <w:r w:rsidR="006722DE">
              <w:rPr>
                <w:rFonts w:ascii="Montserrat" w:hAnsi="Montserrat" w:cs="Arial"/>
                <w:b/>
                <w:sz w:val="22"/>
                <w:szCs w:val="22"/>
              </w:rPr>
              <w:t>I</w:t>
            </w:r>
            <w:r w:rsidR="003C3BD7">
              <w:rPr>
                <w:rFonts w:ascii="Montserrat" w:hAnsi="Montserrat" w:cs="Arial"/>
                <w:b/>
                <w:sz w:val="22"/>
                <w:szCs w:val="22"/>
              </w:rPr>
              <w:t>.</w:t>
            </w:r>
            <w:r>
              <w:rPr>
                <w:rFonts w:ascii="Montserrat" w:hAnsi="Montserrat" w:cs="Arial"/>
                <w:b/>
                <w:sz w:val="22"/>
                <w:szCs w:val="22"/>
              </w:rPr>
              <w:t xml:space="preserve"> Información </w:t>
            </w:r>
            <w:r w:rsidR="006722DE">
              <w:rPr>
                <w:rFonts w:ascii="Montserrat" w:hAnsi="Montserrat" w:cs="Arial"/>
                <w:b/>
                <w:sz w:val="22"/>
                <w:szCs w:val="22"/>
              </w:rPr>
              <w:t>Específica</w:t>
            </w:r>
          </w:p>
          <w:p w14:paraId="6FA53B71" w14:textId="2BA37F4B" w:rsidR="006722DE" w:rsidRPr="00F2436D" w:rsidRDefault="006722DE" w:rsidP="00F2436D">
            <w:pPr>
              <w:tabs>
                <w:tab w:val="left" w:pos="1005"/>
              </w:tabs>
              <w:rPr>
                <w:rFonts w:ascii="Montserrat" w:hAnsi="Montserrat" w:cs="Arial"/>
                <w:b/>
                <w:sz w:val="22"/>
                <w:szCs w:val="22"/>
              </w:rPr>
            </w:pPr>
            <w:r>
              <w:rPr>
                <w:rFonts w:ascii="Montserrat" w:hAnsi="Montserrat" w:cs="Arial"/>
                <w:b/>
                <w:sz w:val="22"/>
                <w:szCs w:val="22"/>
              </w:rPr>
              <w:t>c)</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7454CDBF" w:rsidR="00F2436D" w:rsidRDefault="006722DE" w:rsidP="00037038">
            <w:pPr>
              <w:tabs>
                <w:tab w:val="left" w:pos="1005"/>
              </w:tabs>
              <w:rPr>
                <w:rFonts w:ascii="Montserrat" w:hAnsi="Montserrat" w:cs="Arial"/>
                <w:b/>
                <w:sz w:val="22"/>
                <w:szCs w:val="22"/>
              </w:rPr>
            </w:pPr>
            <w:r>
              <w:rPr>
                <w:rFonts w:ascii="Montserrat" w:hAnsi="Montserrat" w:cs="Arial"/>
                <w:b/>
                <w:sz w:val="22"/>
                <w:szCs w:val="22"/>
              </w:rPr>
              <w:t>59</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7E675382" w:rsidR="00225609" w:rsidRPr="00A16DF7" w:rsidRDefault="006722DE" w:rsidP="00721366">
            <w:pPr>
              <w:tabs>
                <w:tab w:val="left" w:pos="1005"/>
              </w:tabs>
              <w:jc w:val="both"/>
              <w:rPr>
                <w:rFonts w:ascii="Montserrat" w:eastAsia="MS Mincho" w:hAnsi="Montserrat" w:cs="Arial"/>
                <w:bCs/>
                <w:sz w:val="22"/>
                <w:szCs w:val="22"/>
              </w:rPr>
            </w:pPr>
            <w:r>
              <w:rPr>
                <w:rFonts w:ascii="Montserrat" w:eastAsia="MS Mincho" w:hAnsi="Montserrat" w:cs="Arial"/>
                <w:bCs/>
                <w:sz w:val="22"/>
                <w:szCs w:val="22"/>
              </w:rPr>
              <w:t>Programa de trabajo del FIFOMI con objetivos, metas, acciones, tiempos de ejecución y responsables de su operación para la creación de nuevos productos de financiamiento dirigidos a la micro, pequeña y mediana empresa minera, así como explicar detalladamente cada uno de los nuevos productos financieros que se crearon, especificando sus ventajas y, en su caso, desventajas, si son de aplicación general en todas las regiones y entidades federativas y el tipo de empresas (micro, pequeña, mediana) a las que van dirigidos.</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3AB26638" w14:textId="20CFF587" w:rsidR="00F2436D" w:rsidRPr="002317C5" w:rsidRDefault="00D6453D" w:rsidP="00383971">
      <w:pPr>
        <w:tabs>
          <w:tab w:val="left" w:pos="1005"/>
        </w:tabs>
        <w:jc w:val="both"/>
        <w:rPr>
          <w:rFonts w:ascii="Montserrat" w:hAnsi="Montserrat" w:cs="Arial"/>
          <w:bCs/>
          <w:sz w:val="22"/>
          <w:szCs w:val="22"/>
        </w:rPr>
      </w:pPr>
      <w:r>
        <w:rPr>
          <w:rFonts w:ascii="Montserrat" w:hAnsi="Montserrat" w:cs="Arial"/>
          <w:bCs/>
          <w:sz w:val="22"/>
          <w:szCs w:val="22"/>
        </w:rPr>
        <w:t>Se adjunt</w:t>
      </w:r>
      <w:r w:rsidR="006722DE">
        <w:rPr>
          <w:rFonts w:ascii="Montserrat" w:hAnsi="Montserrat" w:cs="Arial"/>
          <w:bCs/>
          <w:sz w:val="22"/>
          <w:szCs w:val="22"/>
        </w:rPr>
        <w:t xml:space="preserve">a el </w:t>
      </w:r>
      <w:r w:rsidR="006722DE">
        <w:rPr>
          <w:rFonts w:ascii="Montserrat" w:hAnsi="Montserrat"/>
          <w:sz w:val="22"/>
          <w:szCs w:val="22"/>
          <w:lang w:eastAsia="es-MX"/>
        </w:rPr>
        <w:t xml:space="preserve">Procedimiento para la </w:t>
      </w:r>
      <w:r w:rsidR="006722DE">
        <w:rPr>
          <w:rFonts w:ascii="Montserrat" w:hAnsi="Montserrat"/>
          <w:sz w:val="22"/>
          <w:szCs w:val="22"/>
          <w:lang w:eastAsia="es-MX"/>
        </w:rPr>
        <w:t>I</w:t>
      </w:r>
      <w:r w:rsidR="006722DE">
        <w:rPr>
          <w:rFonts w:ascii="Montserrat" w:hAnsi="Montserrat"/>
          <w:sz w:val="22"/>
          <w:szCs w:val="22"/>
          <w:lang w:eastAsia="es-MX"/>
        </w:rPr>
        <w:t xml:space="preserve">mplementación o </w:t>
      </w:r>
      <w:r w:rsidR="006722DE">
        <w:rPr>
          <w:rFonts w:ascii="Montserrat" w:hAnsi="Montserrat"/>
          <w:sz w:val="22"/>
          <w:szCs w:val="22"/>
          <w:lang w:eastAsia="es-MX"/>
        </w:rPr>
        <w:t>C</w:t>
      </w:r>
      <w:r w:rsidR="006722DE">
        <w:rPr>
          <w:rFonts w:ascii="Montserrat" w:hAnsi="Montserrat"/>
          <w:sz w:val="22"/>
          <w:szCs w:val="22"/>
          <w:lang w:eastAsia="es-MX"/>
        </w:rPr>
        <w:t xml:space="preserve">ancelación de </w:t>
      </w:r>
      <w:r w:rsidR="006722DE">
        <w:rPr>
          <w:rFonts w:ascii="Montserrat" w:hAnsi="Montserrat"/>
          <w:sz w:val="22"/>
          <w:szCs w:val="22"/>
          <w:lang w:eastAsia="es-MX"/>
        </w:rPr>
        <w:t>N</w:t>
      </w:r>
      <w:r w:rsidR="006722DE">
        <w:rPr>
          <w:rFonts w:ascii="Montserrat" w:hAnsi="Montserrat"/>
          <w:sz w:val="22"/>
          <w:szCs w:val="22"/>
          <w:lang w:eastAsia="es-MX"/>
        </w:rPr>
        <w:t xml:space="preserve">uevos </w:t>
      </w:r>
      <w:r w:rsidR="006722DE">
        <w:rPr>
          <w:rFonts w:ascii="Montserrat" w:hAnsi="Montserrat"/>
          <w:sz w:val="22"/>
          <w:szCs w:val="22"/>
          <w:lang w:eastAsia="es-MX"/>
        </w:rPr>
        <w:t>P</w:t>
      </w:r>
      <w:r w:rsidR="006722DE">
        <w:rPr>
          <w:rFonts w:ascii="Montserrat" w:hAnsi="Montserrat"/>
          <w:sz w:val="22"/>
          <w:szCs w:val="22"/>
          <w:lang w:eastAsia="es-MX"/>
        </w:rPr>
        <w:t xml:space="preserve">roductos y </w:t>
      </w:r>
      <w:r w:rsidR="006722DE">
        <w:rPr>
          <w:rFonts w:ascii="Montserrat" w:hAnsi="Montserrat"/>
          <w:sz w:val="22"/>
          <w:szCs w:val="22"/>
          <w:lang w:eastAsia="es-MX"/>
        </w:rPr>
        <w:t>P</w:t>
      </w:r>
      <w:r w:rsidR="006722DE">
        <w:rPr>
          <w:rFonts w:ascii="Montserrat" w:hAnsi="Montserrat"/>
          <w:sz w:val="22"/>
          <w:szCs w:val="22"/>
          <w:lang w:eastAsia="es-MX"/>
        </w:rPr>
        <w:t xml:space="preserve">rogramas relacionados con la </w:t>
      </w:r>
      <w:r w:rsidR="006722DE">
        <w:rPr>
          <w:rFonts w:ascii="Montserrat" w:hAnsi="Montserrat"/>
          <w:sz w:val="22"/>
          <w:szCs w:val="22"/>
          <w:lang w:eastAsia="es-MX"/>
        </w:rPr>
        <w:t>A</w:t>
      </w:r>
      <w:r w:rsidR="006722DE">
        <w:rPr>
          <w:rFonts w:ascii="Montserrat" w:hAnsi="Montserrat"/>
          <w:sz w:val="22"/>
          <w:szCs w:val="22"/>
          <w:lang w:eastAsia="es-MX"/>
        </w:rPr>
        <w:t xml:space="preserve">ctividad </w:t>
      </w:r>
      <w:r w:rsidR="006722DE">
        <w:rPr>
          <w:rFonts w:ascii="Montserrat" w:hAnsi="Montserrat"/>
          <w:sz w:val="22"/>
          <w:szCs w:val="22"/>
          <w:lang w:eastAsia="es-MX"/>
        </w:rPr>
        <w:t>C</w:t>
      </w:r>
      <w:r w:rsidR="006722DE">
        <w:rPr>
          <w:rFonts w:ascii="Montserrat" w:hAnsi="Montserrat"/>
          <w:sz w:val="22"/>
          <w:szCs w:val="22"/>
          <w:lang w:eastAsia="es-MX"/>
        </w:rPr>
        <w:t>rediticia</w:t>
      </w:r>
      <w:r w:rsidR="00C819BA">
        <w:rPr>
          <w:rFonts w:ascii="Montserrat" w:hAnsi="Montserrat"/>
          <w:sz w:val="22"/>
          <w:szCs w:val="22"/>
          <w:lang w:eastAsia="es-MX"/>
        </w:rPr>
        <w:t xml:space="preserve"> formalizado en septiembre 2021.</w:t>
      </w:r>
    </w:p>
    <w:p w14:paraId="54772146" w14:textId="77777777" w:rsidR="00127377" w:rsidRDefault="00127377" w:rsidP="00127377">
      <w:pPr>
        <w:tabs>
          <w:tab w:val="left" w:pos="1005"/>
        </w:tabs>
        <w:rPr>
          <w:rFonts w:ascii="Montserrat" w:hAnsi="Montserrat" w:cs="Arial"/>
          <w:b/>
          <w:sz w:val="22"/>
          <w:szCs w:val="22"/>
        </w:rPr>
      </w:pPr>
    </w:p>
    <w:p w14:paraId="79445BAF" w14:textId="77777777" w:rsidR="00127377" w:rsidRPr="00752525" w:rsidRDefault="00127377" w:rsidP="00127377">
      <w:pPr>
        <w:tabs>
          <w:tab w:val="left" w:pos="1005"/>
        </w:tabs>
        <w:jc w:val="both"/>
        <w:rPr>
          <w:rFonts w:ascii="Montserrat" w:hAnsi="Montserrat" w:cs="Arial"/>
          <w:b/>
          <w:sz w:val="22"/>
          <w:szCs w:val="22"/>
        </w:rPr>
      </w:pPr>
      <w:r w:rsidRPr="00752525">
        <w:rPr>
          <w:rFonts w:ascii="Montserrat" w:hAnsi="Montserrat" w:cs="Arial"/>
          <w:b/>
          <w:sz w:val="22"/>
          <w:szCs w:val="22"/>
        </w:rPr>
        <w:t>Relación de anexos</w:t>
      </w:r>
    </w:p>
    <w:p w14:paraId="4E7E3FEF" w14:textId="77777777" w:rsidR="00127377" w:rsidRDefault="00127377" w:rsidP="00127377">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5059"/>
        <w:gridCol w:w="2608"/>
      </w:tblGrid>
      <w:tr w:rsidR="00127377" w:rsidRPr="00B55534" w14:paraId="6B7779A4" w14:textId="77777777" w:rsidTr="00702C11">
        <w:trPr>
          <w:jc w:val="center"/>
        </w:trPr>
        <w:tc>
          <w:tcPr>
            <w:tcW w:w="922" w:type="pct"/>
            <w:vAlign w:val="center"/>
          </w:tcPr>
          <w:p w14:paraId="0DBDACE5"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691" w:type="pct"/>
            <w:vAlign w:val="center"/>
          </w:tcPr>
          <w:p w14:paraId="409E917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387" w:type="pct"/>
            <w:vAlign w:val="center"/>
          </w:tcPr>
          <w:p w14:paraId="1E3ED4D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127377" w:rsidRPr="00B55534" w14:paraId="12D7AB8C" w14:textId="77777777" w:rsidTr="00C819BA">
        <w:trPr>
          <w:trHeight w:val="429"/>
          <w:jc w:val="center"/>
        </w:trPr>
        <w:tc>
          <w:tcPr>
            <w:tcW w:w="922" w:type="pct"/>
            <w:vAlign w:val="center"/>
          </w:tcPr>
          <w:p w14:paraId="6182845C" w14:textId="5D303EFE" w:rsidR="00127377" w:rsidRPr="00B55534" w:rsidRDefault="008202B8" w:rsidP="00702C11">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691" w:type="pct"/>
            <w:vAlign w:val="center"/>
          </w:tcPr>
          <w:p w14:paraId="671C99F5" w14:textId="04299709" w:rsidR="00127377" w:rsidRPr="00B55534" w:rsidRDefault="006722DE" w:rsidP="006722DE">
            <w:pPr>
              <w:spacing w:before="40" w:after="40"/>
              <w:jc w:val="both"/>
              <w:rPr>
                <w:rFonts w:ascii="Montserrat" w:hAnsi="Montserrat"/>
                <w:sz w:val="22"/>
                <w:szCs w:val="22"/>
                <w:lang w:eastAsia="es-MX"/>
              </w:rPr>
            </w:pPr>
            <w:r>
              <w:rPr>
                <w:rFonts w:ascii="Montserrat" w:hAnsi="Montserrat"/>
                <w:sz w:val="22"/>
                <w:szCs w:val="22"/>
                <w:lang w:eastAsia="es-MX"/>
              </w:rPr>
              <w:t>Procedimiento para la implementación o cancelación de nuevos productos y programas relacionados con la actividad crediticia</w:t>
            </w:r>
          </w:p>
        </w:tc>
        <w:tc>
          <w:tcPr>
            <w:tcW w:w="1387" w:type="pct"/>
            <w:vAlign w:val="center"/>
          </w:tcPr>
          <w:p w14:paraId="4F4B325B" w14:textId="63EF24EB" w:rsidR="00127377" w:rsidRPr="00B55534" w:rsidRDefault="008202B8" w:rsidP="006722DE">
            <w:pPr>
              <w:spacing w:before="40" w:after="40"/>
              <w:jc w:val="both"/>
              <w:rPr>
                <w:rFonts w:ascii="Montserrat" w:hAnsi="Montserrat"/>
                <w:sz w:val="22"/>
                <w:szCs w:val="22"/>
                <w:lang w:eastAsia="es-MX"/>
              </w:rPr>
            </w:pPr>
            <w:r>
              <w:rPr>
                <w:rFonts w:ascii="Montserrat" w:hAnsi="Montserrat"/>
                <w:sz w:val="22"/>
                <w:szCs w:val="22"/>
                <w:lang w:eastAsia="es-MX"/>
              </w:rPr>
              <w:t>I</w:t>
            </w:r>
            <w:r w:rsidR="006722DE">
              <w:rPr>
                <w:rFonts w:ascii="Montserrat" w:hAnsi="Montserrat"/>
                <w:sz w:val="22"/>
                <w:szCs w:val="22"/>
                <w:lang w:eastAsia="es-MX"/>
              </w:rPr>
              <w:t>I</w:t>
            </w:r>
            <w:r>
              <w:rPr>
                <w:rFonts w:ascii="Montserrat" w:hAnsi="Montserrat"/>
                <w:sz w:val="22"/>
                <w:szCs w:val="22"/>
                <w:lang w:eastAsia="es-MX"/>
              </w:rPr>
              <w:t>.</w:t>
            </w:r>
            <w:r w:rsidR="006722DE">
              <w:rPr>
                <w:rFonts w:ascii="Montserrat" w:hAnsi="Montserrat"/>
                <w:sz w:val="22"/>
                <w:szCs w:val="22"/>
                <w:lang w:eastAsia="es-MX"/>
              </w:rPr>
              <w:t>59</w:t>
            </w:r>
            <w:r w:rsidR="00A16DF7">
              <w:rPr>
                <w:rFonts w:ascii="Montserrat" w:hAnsi="Montserrat"/>
                <w:sz w:val="22"/>
                <w:szCs w:val="22"/>
                <w:lang w:eastAsia="es-MX"/>
              </w:rPr>
              <w:t>.1</w:t>
            </w:r>
            <w:r>
              <w:rPr>
                <w:rFonts w:ascii="Montserrat" w:hAnsi="Montserrat"/>
                <w:sz w:val="22"/>
                <w:szCs w:val="22"/>
                <w:lang w:eastAsia="es-MX"/>
              </w:rPr>
              <w:t xml:space="preserve"> </w:t>
            </w:r>
            <w:r w:rsidR="006722DE">
              <w:rPr>
                <w:rFonts w:ascii="Montserrat" w:hAnsi="Montserrat"/>
                <w:sz w:val="22"/>
                <w:szCs w:val="22"/>
                <w:lang w:eastAsia="es-MX"/>
              </w:rPr>
              <w:t xml:space="preserve">Procedimiento de productos nuevos </w:t>
            </w:r>
          </w:p>
        </w:tc>
      </w:tr>
    </w:tbl>
    <w:p w14:paraId="2DCC2C5A" w14:textId="20B928CE" w:rsidR="00127377" w:rsidRDefault="00127377" w:rsidP="00127377">
      <w:pPr>
        <w:jc w:val="center"/>
        <w:rPr>
          <w:rFonts w:ascii="Montserrat" w:hAnsi="Montserrat"/>
          <w:b/>
          <w:color w:val="000000" w:themeColor="text1"/>
          <w:sz w:val="22"/>
          <w:szCs w:val="22"/>
        </w:rPr>
      </w:pPr>
    </w:p>
    <w:p w14:paraId="77894FF1" w14:textId="77777777" w:rsidR="00655507" w:rsidRDefault="00655507" w:rsidP="00127377">
      <w:pPr>
        <w:jc w:val="center"/>
        <w:rPr>
          <w:rFonts w:ascii="Montserrat" w:hAnsi="Montserrat"/>
          <w:b/>
          <w:color w:val="000000" w:themeColor="text1"/>
          <w:sz w:val="22"/>
          <w:szCs w:val="22"/>
        </w:rPr>
      </w:pPr>
    </w:p>
    <w:p w14:paraId="2B7F3AD9" w14:textId="77777777" w:rsidR="002747E1" w:rsidRDefault="002747E1"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01E931F2"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7D4BEBC1" w14:textId="77777777" w:rsidR="006722DE" w:rsidRDefault="006722DE" w:rsidP="00127377">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34442F7D" w:rsidR="006722DE" w:rsidRDefault="006722DE" w:rsidP="00127377">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181D0316"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Revisó</w:t>
            </w:r>
          </w:p>
          <w:p w14:paraId="66DB1C04" w14:textId="77777777" w:rsidR="006722DE" w:rsidRDefault="006722DE" w:rsidP="00127377">
            <w:pPr>
              <w:jc w:val="center"/>
              <w:rPr>
                <w:rFonts w:ascii="Montserrat" w:hAnsi="Montserrat"/>
                <w:b/>
                <w:color w:val="000000" w:themeColor="text1"/>
                <w:sz w:val="22"/>
                <w:szCs w:val="22"/>
              </w:rPr>
            </w:pPr>
            <w:r>
              <w:rPr>
                <w:rFonts w:ascii="Montserrat" w:hAnsi="Montserrat"/>
                <w:b/>
                <w:color w:val="000000" w:themeColor="text1"/>
                <w:sz w:val="22"/>
                <w:szCs w:val="22"/>
              </w:rPr>
              <w:t>Norma Celina Pérez Talonia</w:t>
            </w:r>
          </w:p>
          <w:p w14:paraId="0B399CB9" w14:textId="55FDAA16" w:rsidR="006722DE" w:rsidRDefault="006722DE" w:rsidP="00127377">
            <w:pPr>
              <w:jc w:val="center"/>
              <w:rPr>
                <w:rFonts w:ascii="Montserrat" w:hAnsi="Montserrat"/>
                <w:b/>
                <w:color w:val="000000" w:themeColor="text1"/>
                <w:sz w:val="22"/>
                <w:szCs w:val="22"/>
              </w:rPr>
            </w:pPr>
            <w:r>
              <w:rPr>
                <w:rFonts w:ascii="Montserrat" w:hAnsi="Montserrat"/>
                <w:b/>
                <w:color w:val="000000" w:themeColor="text1"/>
                <w:sz w:val="22"/>
                <w:szCs w:val="22"/>
              </w:rPr>
              <w:t>Gerente de Crédito y Contratación</w:t>
            </w: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56CAAB5A" w14:textId="77777777" w:rsidR="00446CB1" w:rsidRDefault="00446CB1" w:rsidP="00655507">
      <w:pPr>
        <w:jc w:val="both"/>
        <w:rPr>
          <w:rFonts w:ascii="Montserrat" w:hAnsi="Montserrat"/>
          <w:color w:val="000000"/>
          <w:sz w:val="18"/>
          <w:szCs w:val="18"/>
          <w:shd w:val="clear" w:color="auto" w:fill="FFFFFF"/>
        </w:rPr>
      </w:pPr>
    </w:p>
    <w:p w14:paraId="736F0B67" w14:textId="44F3C49E" w:rsidR="00655507" w:rsidRPr="00A452CE" w:rsidRDefault="00655507" w:rsidP="00655507">
      <w:pPr>
        <w:jc w:val="both"/>
        <w:rPr>
          <w:rFonts w:ascii="Montserrat" w:hAnsi="Montserrat"/>
          <w:sz w:val="16"/>
          <w:szCs w:val="16"/>
          <w:lang w:val="es-ES"/>
        </w:rPr>
      </w:pPr>
      <w:r w:rsidRPr="00A452CE">
        <w:rPr>
          <w:rFonts w:ascii="Montserrat" w:hAnsi="Montserrat"/>
          <w:color w:val="000000"/>
          <w:sz w:val="18"/>
          <w:szCs w:val="18"/>
          <w:shd w:val="clear" w:color="auto" w:fill="FFFFFF"/>
        </w:rPr>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446CB1" w:rsidRPr="00446CB1">
        <w:rPr>
          <w:rFonts w:ascii="Montserrat" w:hAnsi="Montserrat"/>
          <w:sz w:val="18"/>
          <w:szCs w:val="18"/>
          <w:lang w:val="es-ES"/>
        </w:rPr>
        <w:t>“A</w:t>
      </w:r>
      <w:r w:rsidR="00F35BE7" w:rsidRPr="00F35BE7">
        <w:rPr>
          <w:rFonts w:ascii="Montserrat" w:hAnsi="Montserrat"/>
          <w:sz w:val="18"/>
          <w:szCs w:val="18"/>
          <w:lang w:val="es-ES"/>
        </w:rPr>
        <w:t xml:space="preserve">uditoria </w:t>
      </w:r>
      <w:r w:rsidR="00446CB1">
        <w:rPr>
          <w:rFonts w:ascii="Montserrat" w:hAnsi="Montserrat"/>
          <w:sz w:val="18"/>
          <w:szCs w:val="18"/>
          <w:lang w:val="es-ES"/>
        </w:rPr>
        <w:t>Especial de Desempeño”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p w14:paraId="28216ED2" w14:textId="25A53A7E" w:rsidR="002747E1" w:rsidRDefault="002747E1" w:rsidP="00127377">
      <w:pPr>
        <w:jc w:val="center"/>
        <w:rPr>
          <w:rFonts w:ascii="Montserrat" w:hAnsi="Montserrat"/>
          <w:b/>
          <w:color w:val="000000" w:themeColor="text1"/>
          <w:sz w:val="22"/>
          <w:szCs w:val="22"/>
        </w:rPr>
      </w:pPr>
    </w:p>
    <w:p w14:paraId="4EC1C332" w14:textId="7A6A43AE" w:rsidR="002747E1" w:rsidRDefault="002747E1" w:rsidP="00127377">
      <w:pPr>
        <w:jc w:val="center"/>
        <w:rPr>
          <w:rFonts w:ascii="Montserrat" w:hAnsi="Montserrat"/>
          <w:b/>
          <w:color w:val="000000" w:themeColor="text1"/>
          <w:sz w:val="22"/>
          <w:szCs w:val="22"/>
        </w:rPr>
      </w:pPr>
    </w:p>
    <w:p w14:paraId="59B36757" w14:textId="77777777" w:rsidR="002747E1" w:rsidRDefault="002747E1" w:rsidP="00127377">
      <w:pPr>
        <w:jc w:val="center"/>
        <w:rPr>
          <w:rFonts w:ascii="Montserrat" w:hAnsi="Montserrat"/>
          <w:b/>
          <w:color w:val="000000" w:themeColor="text1"/>
          <w:sz w:val="22"/>
          <w:szCs w:val="22"/>
        </w:rPr>
      </w:pPr>
    </w:p>
    <w:p w14:paraId="19306427" w14:textId="707EDDEB" w:rsidR="00AB5BE2" w:rsidRDefault="00AB5BE2" w:rsidP="00127377">
      <w:pPr>
        <w:jc w:val="center"/>
        <w:rPr>
          <w:rFonts w:ascii="Montserrat" w:hAnsi="Montserrat"/>
          <w:b/>
          <w:color w:val="000000" w:themeColor="text1"/>
          <w:sz w:val="22"/>
          <w:szCs w:val="22"/>
        </w:rPr>
      </w:pPr>
    </w:p>
    <w:sectPr w:rsidR="00AB5BE2" w:rsidSect="00A13636">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2E2" w14:textId="77777777" w:rsidR="00A13636" w:rsidRDefault="00A13636" w:rsidP="00F630B5">
      <w:r>
        <w:separator/>
      </w:r>
    </w:p>
  </w:endnote>
  <w:endnote w:type="continuationSeparator" w:id="0">
    <w:p w14:paraId="6929A4B3" w14:textId="77777777" w:rsidR="00A13636" w:rsidRDefault="00A13636"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EndPr/>
    <w:sdtContent>
      <w:sdt>
        <w:sdtPr>
          <w:id w:val="-1769616900"/>
          <w:docPartObj>
            <w:docPartGallery w:val="Page Numbers (Top of Page)"/>
            <w:docPartUnique/>
          </w:docPartObj>
        </w:sdtPr>
        <w:sdtEnd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2E9" w14:textId="77777777" w:rsidR="00A13636" w:rsidRDefault="00A13636" w:rsidP="00F630B5">
      <w:r>
        <w:separator/>
      </w:r>
    </w:p>
  </w:footnote>
  <w:footnote w:type="continuationSeparator" w:id="0">
    <w:p w14:paraId="0507AFF9" w14:textId="77777777" w:rsidR="00A13636" w:rsidRDefault="00A13636"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127A1EAD" w14:textId="77777777" w:rsidR="00446CB1"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446CB1" w:rsidRPr="00446CB1">
            <w:rPr>
              <w:rFonts w:ascii="Montserrat" w:hAnsi="Montserrat"/>
              <w:sz w:val="20"/>
            </w:rPr>
            <w:t xml:space="preserve">OAED/DGADDE/044/2024 de fecha </w:t>
          </w:r>
        </w:p>
        <w:p w14:paraId="3E043514" w14:textId="07C7AE65" w:rsidR="00CB2E1F" w:rsidRPr="00F2436D" w:rsidRDefault="00446CB1" w:rsidP="00F2436D">
          <w:pPr>
            <w:pStyle w:val="Encabezado"/>
            <w:spacing w:before="60" w:after="60"/>
            <w:jc w:val="center"/>
            <w:rPr>
              <w:rFonts w:ascii="Montserrat" w:hAnsi="Montserrat"/>
              <w:sz w:val="20"/>
            </w:rPr>
          </w:pPr>
          <w:r w:rsidRPr="00446CB1">
            <w:rPr>
              <w:rFonts w:ascii="Montserrat" w:hAnsi="Montserrat"/>
              <w:sz w:val="20"/>
            </w:rPr>
            <w:t>27 de febrero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3EC"/>
    <w:rsid w:val="00023EBF"/>
    <w:rsid w:val="000310BE"/>
    <w:rsid w:val="00077C4F"/>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CB1"/>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27B"/>
    <w:rsid w:val="005E4E06"/>
    <w:rsid w:val="005F60BA"/>
    <w:rsid w:val="00611B6D"/>
    <w:rsid w:val="00630EE4"/>
    <w:rsid w:val="00636AB4"/>
    <w:rsid w:val="00637DBA"/>
    <w:rsid w:val="00640B8C"/>
    <w:rsid w:val="006510EE"/>
    <w:rsid w:val="00655507"/>
    <w:rsid w:val="0066769E"/>
    <w:rsid w:val="006722D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E08EE"/>
    <w:rsid w:val="008E296A"/>
    <w:rsid w:val="009255D5"/>
    <w:rsid w:val="009278A0"/>
    <w:rsid w:val="00931C97"/>
    <w:rsid w:val="009355E6"/>
    <w:rsid w:val="009633CF"/>
    <w:rsid w:val="0096666B"/>
    <w:rsid w:val="00992277"/>
    <w:rsid w:val="0099603F"/>
    <w:rsid w:val="009B0108"/>
    <w:rsid w:val="009B333F"/>
    <w:rsid w:val="009B6050"/>
    <w:rsid w:val="009C12E8"/>
    <w:rsid w:val="009C4261"/>
    <w:rsid w:val="009E417C"/>
    <w:rsid w:val="00A05C53"/>
    <w:rsid w:val="00A13636"/>
    <w:rsid w:val="00A16DF7"/>
    <w:rsid w:val="00A20D01"/>
    <w:rsid w:val="00A256FA"/>
    <w:rsid w:val="00A305B8"/>
    <w:rsid w:val="00A322B1"/>
    <w:rsid w:val="00A42159"/>
    <w:rsid w:val="00A44B6B"/>
    <w:rsid w:val="00AB5BE2"/>
    <w:rsid w:val="00AB5FB6"/>
    <w:rsid w:val="00AC42CE"/>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71B6"/>
    <w:rsid w:val="00C7081D"/>
    <w:rsid w:val="00C819BA"/>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1771</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cp:revision>
  <cp:lastPrinted>2021-10-01T15:14:00Z</cp:lastPrinted>
  <dcterms:created xsi:type="dcterms:W3CDTF">2024-03-12T23:37:00Z</dcterms:created>
  <dcterms:modified xsi:type="dcterms:W3CDTF">2024-03-12T23:37:00Z</dcterms:modified>
</cp:coreProperties>
</file>