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5ADA5F12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077C4F">
        <w:rPr>
          <w:rFonts w:ascii="Montserrat" w:hAnsi="Montserrat" w:cs="Arial"/>
          <w:sz w:val="22"/>
          <w:szCs w:val="22"/>
        </w:rPr>
        <w:t>1</w:t>
      </w:r>
      <w:r w:rsidR="00981E6C">
        <w:rPr>
          <w:rFonts w:ascii="Montserrat" w:hAnsi="Montserrat" w:cs="Arial"/>
          <w:sz w:val="22"/>
          <w:szCs w:val="22"/>
        </w:rPr>
        <w:t>4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A16DF7">
        <w:rPr>
          <w:rFonts w:ascii="Montserrat" w:hAnsi="Montserrat" w:cs="Arial"/>
          <w:sz w:val="22"/>
          <w:szCs w:val="22"/>
        </w:rPr>
        <w:t>3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6FA53B71" w14:textId="595222C3" w:rsidR="00225609" w:rsidRPr="00F2436D" w:rsidRDefault="00981E6C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General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32BED1EB" w:rsidR="00F2436D" w:rsidRDefault="00981E6C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56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07158A36" w:rsidR="00225609" w:rsidRPr="00A16DF7" w:rsidRDefault="00981E6C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Proporcionar los indicadores implementados para medir el cumplimiento de las metas fijadas en el otorgamiento de créditos a empresas del sector minero y a su cadena de valor, para 2023.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3AB26638" w14:textId="674EA448" w:rsidR="00F2436D" w:rsidRPr="002317C5" w:rsidRDefault="00D6453D" w:rsidP="00383971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Se adjunta</w:t>
      </w:r>
      <w:r w:rsidR="00981E6C">
        <w:rPr>
          <w:rFonts w:ascii="Montserrat" w:hAnsi="Montserrat" w:cs="Arial"/>
          <w:bCs/>
          <w:sz w:val="22"/>
          <w:szCs w:val="22"/>
        </w:rPr>
        <w:t xml:space="preserve"> el indicador denominado “componente” del Programa Presupuestario F002</w:t>
      </w:r>
      <w:r w:rsidR="00931A94">
        <w:rPr>
          <w:rFonts w:ascii="Montserrat" w:hAnsi="Montserrat" w:cs="Arial"/>
          <w:bCs/>
          <w:sz w:val="22"/>
          <w:szCs w:val="22"/>
        </w:rPr>
        <w:t>, el cual muestra el cumplimiento de las metas respecto al otorgamiento de los créditos durante el ejercicio 2023</w:t>
      </w:r>
    </w:p>
    <w:p w14:paraId="7C00F408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4642"/>
        <w:gridCol w:w="3025"/>
      </w:tblGrid>
      <w:tr w:rsidR="00127377" w:rsidRPr="00B55534" w14:paraId="6B7779A4" w14:textId="77777777" w:rsidTr="00981E6C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469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610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27377" w:rsidRPr="00B55534" w14:paraId="12D7AB8C" w14:textId="77777777" w:rsidTr="00981E6C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127377" w:rsidRPr="00B55534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469" w:type="pct"/>
            <w:vAlign w:val="center"/>
          </w:tcPr>
          <w:p w14:paraId="671C99F5" w14:textId="00FFA4D0" w:rsidR="00127377" w:rsidRPr="00B55534" w:rsidRDefault="00981E6C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Indicador Componente MIR </w:t>
            </w:r>
          </w:p>
        </w:tc>
        <w:tc>
          <w:tcPr>
            <w:tcW w:w="1610" w:type="pct"/>
            <w:vAlign w:val="center"/>
          </w:tcPr>
          <w:p w14:paraId="4F4B325B" w14:textId="3E3A3EFD" w:rsidR="00127377" w:rsidRPr="00B55534" w:rsidRDefault="008202B8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981E6C">
              <w:rPr>
                <w:rFonts w:ascii="Montserrat" w:hAnsi="Montserrat"/>
                <w:sz w:val="22"/>
                <w:szCs w:val="22"/>
                <w:lang w:eastAsia="es-MX"/>
              </w:rPr>
              <w:t>I.56</w:t>
            </w:r>
            <w:r w:rsidR="00A16DF7">
              <w:rPr>
                <w:rFonts w:ascii="Montserrat" w:hAnsi="Montserrat"/>
                <w:sz w:val="22"/>
                <w:szCs w:val="22"/>
                <w:lang w:eastAsia="es-MX"/>
              </w:rPr>
              <w:t>.1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 </w:t>
            </w:r>
            <w:r w:rsidR="00981E6C">
              <w:rPr>
                <w:rFonts w:ascii="Montserrat" w:hAnsi="Montserrat"/>
                <w:sz w:val="22"/>
                <w:szCs w:val="22"/>
                <w:lang w:eastAsia="es-MX"/>
              </w:rPr>
              <w:t>MIR Componente</w:t>
            </w:r>
          </w:p>
        </w:tc>
      </w:tr>
    </w:tbl>
    <w:p w14:paraId="2DCC2C5A" w14:textId="20B928CE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A5F2E77" w14:textId="30867DF2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329A8A5A" w14:textId="6DBA6593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7894FF1" w14:textId="65444D0C" w:rsidR="00981E6C" w:rsidRDefault="00981E6C">
      <w:pPr>
        <w:rPr>
          <w:rFonts w:ascii="Montserrat" w:hAnsi="Montserrat"/>
          <w:b/>
          <w:color w:val="000000" w:themeColor="text1"/>
          <w:sz w:val="22"/>
          <w:szCs w:val="22"/>
        </w:rPr>
      </w:pPr>
      <w:r>
        <w:rPr>
          <w:rFonts w:ascii="Montserrat" w:hAnsi="Montserrat"/>
          <w:b/>
          <w:color w:val="000000" w:themeColor="text1"/>
          <w:sz w:val="22"/>
          <w:szCs w:val="22"/>
        </w:rPr>
        <w:br w:type="page"/>
      </w:r>
    </w:p>
    <w:p w14:paraId="084CAD70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1A7EB7A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09D5CA25" w14:textId="77777777" w:rsidR="00981E6C" w:rsidRDefault="00981E6C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6E2FAFF1" w14:textId="77777777" w:rsidR="00981E6C" w:rsidRDefault="00981E6C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0EC78FBA" w14:textId="77777777" w:rsidR="00981E6C" w:rsidRDefault="00981E6C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52C455" w14:textId="77777777" w:rsidR="00981E6C" w:rsidRDefault="00981E6C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03B66816" w14:textId="77777777" w:rsidR="00981E6C" w:rsidRDefault="00981E6C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33568E34" w14:textId="77777777" w:rsidR="00981E6C" w:rsidRDefault="00981E6C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498BD8EA" w14:textId="77777777" w:rsidR="00931A94" w:rsidRDefault="00931A94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16077B99" w14:textId="77777777" w:rsidR="00981E6C" w:rsidRDefault="00981E6C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6618EF5" w14:textId="77777777" w:rsidR="00981E6C" w:rsidRDefault="00981E6C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4C2FE33" w14:textId="77777777" w:rsidR="00981E6C" w:rsidRDefault="00981E6C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7318B412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525AB5C1" w14:textId="77777777" w:rsidR="00981E6C" w:rsidRDefault="00981E6C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698F07EC" w:rsidR="00981E6C" w:rsidRDefault="00981E6C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5BD45330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2D799108" w14:textId="77777777" w:rsidR="00981E6C" w:rsidRDefault="00981E6C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15E87275" w:rsidR="00981E6C" w:rsidRDefault="00981E6C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736F0B67" w14:textId="44F3C49E" w:rsidR="00655507" w:rsidRPr="00A452CE" w:rsidRDefault="00655507" w:rsidP="00655507">
      <w:pPr>
        <w:jc w:val="both"/>
        <w:rPr>
          <w:rFonts w:ascii="Montserrat" w:hAnsi="Montserrat"/>
          <w:sz w:val="16"/>
          <w:szCs w:val="16"/>
          <w:lang w:val="es-ES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p w14:paraId="28216ED2" w14:textId="25A53A7E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4EC1C332" w14:textId="7A6A43AE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9B36757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19306427" w14:textId="707EDDEB" w:rsidR="00AB5BE2" w:rsidRDefault="00AB5BE2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sectPr w:rsidR="00AB5BE2" w:rsidSect="00A13636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62E2" w14:textId="77777777" w:rsidR="00A13636" w:rsidRDefault="00A13636" w:rsidP="00F630B5">
      <w:r>
        <w:separator/>
      </w:r>
    </w:p>
  </w:endnote>
  <w:endnote w:type="continuationSeparator" w:id="0">
    <w:p w14:paraId="6929A4B3" w14:textId="77777777" w:rsidR="00A13636" w:rsidRDefault="00A13636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2E9" w14:textId="77777777" w:rsidR="00A13636" w:rsidRDefault="00A13636" w:rsidP="00F630B5">
      <w:r>
        <w:separator/>
      </w:r>
    </w:p>
  </w:footnote>
  <w:footnote w:type="continuationSeparator" w:id="0">
    <w:p w14:paraId="0507AFF9" w14:textId="77777777" w:rsidR="00A13636" w:rsidRDefault="00A13636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mirrorMargin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A94"/>
    <w:rsid w:val="00931C97"/>
    <w:rsid w:val="009355E6"/>
    <w:rsid w:val="009633CF"/>
    <w:rsid w:val="0096666B"/>
    <w:rsid w:val="00981E6C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2</cp:revision>
  <cp:lastPrinted>2024-03-25T23:34:00Z</cp:lastPrinted>
  <dcterms:created xsi:type="dcterms:W3CDTF">2024-03-25T23:35:00Z</dcterms:created>
  <dcterms:modified xsi:type="dcterms:W3CDTF">2024-03-25T23:35:00Z</dcterms:modified>
</cp:coreProperties>
</file>