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2AF9AC4A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A759EF">
        <w:rPr>
          <w:rFonts w:ascii="Montserrat" w:hAnsi="Montserrat" w:cs="Arial"/>
          <w:sz w:val="22"/>
          <w:szCs w:val="22"/>
        </w:rPr>
        <w:t>11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A759EF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7DB9F71B" w14:textId="77777777" w:rsidR="00225609" w:rsidRDefault="00D6453D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A759EF">
              <w:rPr>
                <w:rFonts w:ascii="Montserrat" w:hAnsi="Montserrat" w:cs="Arial"/>
                <w:b/>
                <w:sz w:val="22"/>
                <w:szCs w:val="22"/>
              </w:rPr>
              <w:t>I.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 w:rsidR="00A759EF"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45027D37" w:rsidR="00A759EF" w:rsidRPr="00F2436D" w:rsidRDefault="00A759EF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b)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7547727B" w:rsidR="00F2436D" w:rsidRDefault="00A759EF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36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7D2AD396" w:rsidR="00225609" w:rsidRPr="00A16DF7" w:rsidRDefault="00A759EF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Bases de datos que sustenten las cifras reportadas en el cuadro anterior.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3C2F1DE" w14:textId="0A7F97BA" w:rsidR="00655507" w:rsidRDefault="00D6453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Se adjunta</w:t>
      </w:r>
      <w:r w:rsidR="00A759EF">
        <w:rPr>
          <w:rFonts w:ascii="Montserrat" w:hAnsi="Montserrat" w:cs="Arial"/>
          <w:bCs/>
          <w:sz w:val="22"/>
          <w:szCs w:val="22"/>
        </w:rPr>
        <w:t xml:space="preserve"> la base de datos la cual contiene la información detallada sobre los otorgados durante el ejercicio 2023.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5059"/>
        <w:gridCol w:w="2608"/>
      </w:tblGrid>
      <w:tr w:rsidR="00127377" w:rsidRPr="00B55534" w14:paraId="6B7779A4" w14:textId="77777777" w:rsidTr="00702C11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691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387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702C11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691" w:type="pct"/>
            <w:vAlign w:val="center"/>
          </w:tcPr>
          <w:p w14:paraId="671C99F5" w14:textId="132CDEF7" w:rsidR="00127377" w:rsidRPr="00B55534" w:rsidRDefault="00A759EF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Créditos otorgados 2023</w:t>
            </w:r>
          </w:p>
        </w:tc>
        <w:tc>
          <w:tcPr>
            <w:tcW w:w="1387" w:type="pct"/>
            <w:vAlign w:val="center"/>
          </w:tcPr>
          <w:p w14:paraId="4F4B325B" w14:textId="0B045F04" w:rsidR="00127377" w:rsidRPr="00B55534" w:rsidRDefault="00A759EF" w:rsidP="00A759EF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>I.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36.1 Otorgados 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202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3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7894FF1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29C1F06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72A5DBA6" w14:textId="77777777" w:rsidR="00A759EF" w:rsidRDefault="00A759EF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70A46EC5" w:rsidR="00A759EF" w:rsidRDefault="00A759EF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2E0A9003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14A89A73" w14:textId="77777777" w:rsidR="00A759EF" w:rsidRDefault="00A759EF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0446DCF5" w:rsidR="00A759EF" w:rsidRDefault="00A759EF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736F0B67" w14:textId="44F3C49E" w:rsidR="00655507" w:rsidRPr="00A452CE" w:rsidRDefault="00655507" w:rsidP="00655507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p w14:paraId="28216ED2" w14:textId="25A53A7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EC1C332" w14:textId="7A6A43A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19306427" w14:textId="707EDDEB" w:rsidR="00AB5BE2" w:rsidRDefault="00AB5BE2" w:rsidP="00A759EF">
      <w:pPr>
        <w:rPr>
          <w:rFonts w:ascii="Montserrat" w:hAnsi="Montserrat"/>
          <w:b/>
          <w:color w:val="000000" w:themeColor="text1"/>
          <w:sz w:val="22"/>
          <w:szCs w:val="22"/>
        </w:rPr>
      </w:pPr>
    </w:p>
    <w:sectPr w:rsidR="00AB5BE2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759EF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2021-10-01T15:14:00Z</cp:lastPrinted>
  <dcterms:created xsi:type="dcterms:W3CDTF">2024-03-11T17:30:00Z</dcterms:created>
  <dcterms:modified xsi:type="dcterms:W3CDTF">2024-03-11T17:30:00Z</dcterms:modified>
</cp:coreProperties>
</file>