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702957A3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1</w:t>
      </w:r>
      <w:r w:rsidR="00B14920">
        <w:rPr>
          <w:rFonts w:ascii="Montserrat" w:hAnsi="Montserrat" w:cs="Arial"/>
          <w:sz w:val="22"/>
          <w:szCs w:val="22"/>
        </w:rPr>
        <w:t>2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B14920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FA53B71" w14:textId="5FE36AA7" w:rsidR="00225609" w:rsidRPr="00F2436D" w:rsidRDefault="00B14920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1071C1D7" w:rsidR="00F2436D" w:rsidRDefault="00B14920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32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4B4D4883" w:rsidR="00225609" w:rsidRPr="00A16DF7" w:rsidRDefault="00B14920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Precisar, </w:t>
            </w:r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 xml:space="preserve">¿cuáles son los ODS y las metas con los que se relacionan los </w:t>
            </w:r>
            <w:proofErr w:type="spellStart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Pp</w:t>
            </w:r>
            <w:proofErr w:type="spellEnd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 xml:space="preserve"> F002 y F005 a cargo del FIFOMI?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4D84930B" w14:textId="77777777" w:rsidR="00B14920" w:rsidRDefault="00B14920" w:rsidP="00B149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2529E93B" w14:textId="3967736E" w:rsidR="00B14920" w:rsidRDefault="00B14920" w:rsidP="00B149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Segoe UI"/>
          <w:sz w:val="22"/>
          <w:szCs w:val="22"/>
          <w:lang w:val="es-ES"/>
        </w:rPr>
        <w:t>Se adjunta</w:t>
      </w:r>
      <w:r>
        <w:rPr>
          <w:rStyle w:val="normaltextrun"/>
          <w:rFonts w:ascii="Montserrat" w:hAnsi="Montserrat" w:cs="Segoe UI"/>
          <w:sz w:val="22"/>
          <w:szCs w:val="22"/>
          <w:lang w:val="es-ES"/>
        </w:rPr>
        <w:t xml:space="preserve"> la</w:t>
      </w:r>
      <w:r>
        <w:rPr>
          <w:rStyle w:val="normaltextrun"/>
          <w:rFonts w:ascii="Montserrat" w:hAnsi="Montserrat" w:cs="Segoe UI"/>
          <w:sz w:val="22"/>
          <w:szCs w:val="22"/>
          <w:lang w:val="es-ES"/>
        </w:rPr>
        <w:t xml:space="preserve"> vinculación del </w:t>
      </w:r>
      <w:proofErr w:type="spellStart"/>
      <w:r>
        <w:rPr>
          <w:rStyle w:val="normaltextrun"/>
          <w:rFonts w:ascii="Montserrat" w:hAnsi="Montserrat" w:cs="Segoe UI"/>
          <w:sz w:val="22"/>
          <w:szCs w:val="22"/>
          <w:lang w:val="es-ES"/>
        </w:rPr>
        <w:t>Pp</w:t>
      </w:r>
      <w:proofErr w:type="spellEnd"/>
      <w:r>
        <w:rPr>
          <w:rStyle w:val="normaltextrun"/>
          <w:rFonts w:ascii="Montserrat" w:hAnsi="Montserrat" w:cs="Segoe UI"/>
          <w:sz w:val="22"/>
          <w:szCs w:val="22"/>
          <w:lang w:val="es-ES"/>
        </w:rPr>
        <w:t xml:space="preserve"> F00</w:t>
      </w:r>
      <w:r>
        <w:rPr>
          <w:rStyle w:val="normaltextrun"/>
          <w:rFonts w:ascii="Montserrat" w:hAnsi="Montserrat" w:cs="Segoe UI"/>
          <w:sz w:val="22"/>
          <w:szCs w:val="22"/>
          <w:lang w:val="es-ES"/>
        </w:rPr>
        <w:t>2</w:t>
      </w:r>
      <w:r>
        <w:rPr>
          <w:rStyle w:val="normaltextrun"/>
          <w:rFonts w:ascii="Montserrat" w:hAnsi="Montserrat" w:cs="Segoe UI"/>
          <w:sz w:val="22"/>
          <w:szCs w:val="22"/>
          <w:lang w:val="es-ES"/>
        </w:rPr>
        <w:t xml:space="preserve"> en 2023 con los ODS. 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54772146" w14:textId="50C4214C" w:rsidR="00127377" w:rsidRPr="007C4335" w:rsidRDefault="007C4335" w:rsidP="007C4335">
      <w:pPr>
        <w:pStyle w:val="paragraph"/>
        <w:jc w:val="both"/>
        <w:textAlignment w:val="baseline"/>
        <w:rPr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Adicionalmente, adjuntamos el correo electrónico enviado 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a la Dirección de Programación y Evaluación Presupuestaria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 para informar que no se realizarían modificaciones a </w:t>
      </w:r>
      <w:r w:rsidRPr="007C4335"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 xml:space="preserve">los Objetivos de Desarrollo Sostenible 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(</w:t>
      </w:r>
      <w:r w:rsidRPr="007C4335"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ODS)</w:t>
      </w:r>
      <w:r>
        <w:rPr>
          <w:rStyle w:val="normaltextrun"/>
          <w:rFonts w:ascii="Montserrat" w:hAnsi="Montserrat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499"/>
        <w:gridCol w:w="3168"/>
      </w:tblGrid>
      <w:tr w:rsidR="00127377" w:rsidRPr="00B55534" w14:paraId="6B7779A4" w14:textId="77777777" w:rsidTr="0014463B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393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685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4463B" w:rsidRPr="00B55534" w14:paraId="12D7AB8C" w14:textId="77777777" w:rsidTr="0014463B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4463B" w:rsidRPr="00B55534" w:rsidRDefault="0014463B" w:rsidP="0014463B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393" w:type="pct"/>
            <w:vAlign w:val="center"/>
          </w:tcPr>
          <w:p w14:paraId="671C99F5" w14:textId="5C4C8F8A" w:rsidR="0014463B" w:rsidRPr="00B55534" w:rsidRDefault="0014463B" w:rsidP="0014463B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Vinculación del F002 con los ODS.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  <w:tc>
          <w:tcPr>
            <w:tcW w:w="1685" w:type="pct"/>
            <w:vAlign w:val="center"/>
          </w:tcPr>
          <w:p w14:paraId="4F4B325B" w14:textId="2358033F" w:rsidR="0014463B" w:rsidRPr="00B55534" w:rsidRDefault="0014463B" w:rsidP="0014463B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II.32.1 Vinculación del F002 con los ODS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</w:tr>
      <w:tr w:rsidR="00B5633A" w:rsidRPr="00B55534" w14:paraId="222D80AC" w14:textId="77777777" w:rsidTr="0014463B">
        <w:trPr>
          <w:trHeight w:val="469"/>
          <w:jc w:val="center"/>
        </w:trPr>
        <w:tc>
          <w:tcPr>
            <w:tcW w:w="922" w:type="pct"/>
            <w:vAlign w:val="center"/>
          </w:tcPr>
          <w:p w14:paraId="2EAE662E" w14:textId="113A06C2" w:rsidR="00B5633A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393" w:type="pct"/>
            <w:vAlign w:val="center"/>
          </w:tcPr>
          <w:p w14:paraId="7392C86D" w14:textId="57A04B83" w:rsidR="00B5633A" w:rsidRDefault="0014463B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Correo electrónico respecto a los ODS</w:t>
            </w:r>
          </w:p>
        </w:tc>
        <w:tc>
          <w:tcPr>
            <w:tcW w:w="1685" w:type="pct"/>
            <w:vAlign w:val="center"/>
          </w:tcPr>
          <w:p w14:paraId="611FF601" w14:textId="0A06885F" w:rsidR="00B5633A" w:rsidRPr="00B5633A" w:rsidRDefault="0014463B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3C3BD7">
              <w:rPr>
                <w:rFonts w:ascii="Montserrat" w:hAnsi="Montserrat"/>
                <w:sz w:val="22"/>
                <w:szCs w:val="22"/>
                <w:lang w:eastAsia="es-MX"/>
              </w:rPr>
              <w:t>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32</w:t>
            </w:r>
            <w:r w:rsidR="003C3BD7">
              <w:rPr>
                <w:rFonts w:ascii="Montserrat" w:hAnsi="Montserrat"/>
                <w:sz w:val="22"/>
                <w:szCs w:val="22"/>
                <w:lang w:eastAsia="es-MX"/>
              </w:rPr>
              <w:t>.2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Correo electrónico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62E70E4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11EB982C" w14:textId="77777777" w:rsidR="0014463B" w:rsidRDefault="0014463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35AA2061" w:rsidR="0014463B" w:rsidRDefault="0014463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06C4D80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39159A85" w14:textId="77777777" w:rsidR="0014463B" w:rsidRDefault="0014463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384C72CC" w:rsidR="0014463B" w:rsidRDefault="0014463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19306427" w14:textId="37AA4A5A" w:rsidR="00AB5BE2" w:rsidRPr="0014463B" w:rsidRDefault="00655507" w:rsidP="0014463B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AB5BE2" w:rsidRPr="0014463B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463B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C4335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14920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14920"/>
  </w:style>
  <w:style w:type="paragraph" w:customStyle="1" w:styleId="paragraph">
    <w:name w:val="paragraph"/>
    <w:basedOn w:val="Normal"/>
    <w:rsid w:val="00B14920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eop">
    <w:name w:val="eop"/>
    <w:basedOn w:val="Fuentedeprrafopredeter"/>
    <w:rsid w:val="00B1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2024-03-12T19:34:00Z</dcterms:created>
  <dcterms:modified xsi:type="dcterms:W3CDTF">2024-03-12T19:34:00Z</dcterms:modified>
</cp:coreProperties>
</file>