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7105F1DF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077C4F">
        <w:rPr>
          <w:rFonts w:ascii="Montserrat" w:hAnsi="Montserrat" w:cs="Arial"/>
          <w:sz w:val="22"/>
          <w:szCs w:val="22"/>
        </w:rPr>
        <w:t>0</w:t>
      </w:r>
      <w:r w:rsidR="008B5739">
        <w:rPr>
          <w:rFonts w:ascii="Montserrat" w:hAnsi="Montserrat" w:cs="Arial"/>
          <w:sz w:val="22"/>
          <w:szCs w:val="22"/>
        </w:rPr>
        <w:t>8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8B5739">
        <w:rPr>
          <w:rFonts w:ascii="Montserrat" w:hAnsi="Montserrat" w:cs="Arial"/>
          <w:sz w:val="22"/>
          <w:szCs w:val="22"/>
        </w:rPr>
        <w:t>4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0F0FF040" w14:textId="77777777" w:rsidR="00225609" w:rsidRDefault="008B5739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.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 xml:space="preserve"> Información </w:t>
            </w:r>
            <w:r>
              <w:rPr>
                <w:rFonts w:ascii="Montserrat" w:hAnsi="Montserrat" w:cs="Arial"/>
                <w:b/>
                <w:sz w:val="22"/>
                <w:szCs w:val="22"/>
              </w:rPr>
              <w:t>Específica</w:t>
            </w:r>
          </w:p>
          <w:p w14:paraId="6FA53B71" w14:textId="6A4CD397" w:rsidR="008B5739" w:rsidRPr="00F2436D" w:rsidRDefault="008B5739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b)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30258C17" w:rsidR="00F2436D" w:rsidRDefault="008B5739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30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141F9CF7" w:rsidR="00225609" w:rsidRPr="00A16DF7" w:rsidRDefault="008B5739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Style w:val="normaltextrun"/>
                <w:rFonts w:ascii="Montserrat" w:hAnsi="Montserr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Resultados obtenidos y reportados, correspondientes al ejercicio fiscal 2023, de cada uno de los indicadores contenidos en la MIR de los </w:t>
            </w:r>
            <w:proofErr w:type="spellStart"/>
            <w:r>
              <w:rPr>
                <w:rStyle w:val="normaltextrun"/>
                <w:rFonts w:ascii="Montserrat" w:hAnsi="Montserrat"/>
                <w:color w:val="000000"/>
                <w:sz w:val="22"/>
                <w:szCs w:val="22"/>
                <w:shd w:val="clear" w:color="auto" w:fill="FFFFFF"/>
                <w:lang w:val="es-ES"/>
              </w:rPr>
              <w:t>Pp</w:t>
            </w:r>
            <w:proofErr w:type="spellEnd"/>
            <w:r>
              <w:rPr>
                <w:rStyle w:val="normaltextrun"/>
                <w:rFonts w:ascii="Montserrat" w:hAnsi="Montserr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F002 y F005 y, en su caso, explicar ampliamente las causas que propiciaron las variaciones registradas entre las metas programadas y alcanzadas, conforme a los cuadros siguientes:</w:t>
            </w:r>
            <w:r>
              <w:rPr>
                <w:rStyle w:val="eop"/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3C2F1DE" w14:textId="7EA163C7" w:rsidR="00655507" w:rsidRDefault="00D6453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Se adjunta</w:t>
      </w:r>
      <w:r w:rsidR="008B5739">
        <w:rPr>
          <w:rFonts w:ascii="Montserrat" w:hAnsi="Montserrat" w:cs="Arial"/>
          <w:bCs/>
          <w:sz w:val="22"/>
          <w:szCs w:val="22"/>
        </w:rPr>
        <w:t xml:space="preserve"> el reporte de los resultados de la MIR correspondiente al Programa Presupuestario F002 del 2023.</w:t>
      </w:r>
    </w:p>
    <w:p w14:paraId="54772146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4074"/>
        <w:gridCol w:w="3593"/>
      </w:tblGrid>
      <w:tr w:rsidR="00127377" w:rsidRPr="00B55534" w14:paraId="6B7779A4" w14:textId="77777777" w:rsidTr="00101315">
        <w:trPr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167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911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127377" w:rsidRPr="00B55534" w14:paraId="12D7AB8C" w14:textId="77777777" w:rsidTr="00101315">
        <w:trPr>
          <w:trHeight w:val="96"/>
          <w:jc w:val="center"/>
        </w:trPr>
        <w:tc>
          <w:tcPr>
            <w:tcW w:w="922" w:type="pct"/>
            <w:vAlign w:val="center"/>
          </w:tcPr>
          <w:p w14:paraId="6182845C" w14:textId="5D303EFE" w:rsidR="00127377" w:rsidRPr="00B55534" w:rsidRDefault="008202B8" w:rsidP="00702C11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167" w:type="pct"/>
            <w:vAlign w:val="center"/>
          </w:tcPr>
          <w:p w14:paraId="671C99F5" w14:textId="7C2879B6" w:rsidR="00127377" w:rsidRPr="00B55534" w:rsidRDefault="008B5739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 xml:space="preserve">Reporte de la MIR </w:t>
            </w:r>
            <w:proofErr w:type="spellStart"/>
            <w:r>
              <w:rPr>
                <w:rFonts w:ascii="Montserrat" w:hAnsi="Montserrat"/>
                <w:sz w:val="22"/>
                <w:szCs w:val="22"/>
                <w:lang w:eastAsia="es-MX"/>
              </w:rPr>
              <w:t>Pp</w:t>
            </w:r>
            <w:proofErr w:type="spellEnd"/>
            <w:r>
              <w:rPr>
                <w:rFonts w:ascii="Montserrat" w:hAnsi="Montserrat"/>
                <w:sz w:val="22"/>
                <w:szCs w:val="22"/>
                <w:lang w:eastAsia="es-MX"/>
              </w:rPr>
              <w:t xml:space="preserve"> F002</w:t>
            </w:r>
          </w:p>
        </w:tc>
        <w:tc>
          <w:tcPr>
            <w:tcW w:w="1911" w:type="pct"/>
            <w:vAlign w:val="center"/>
          </w:tcPr>
          <w:p w14:paraId="4F4B325B" w14:textId="19875404" w:rsidR="00127377" w:rsidRPr="00B55534" w:rsidRDefault="008B5739" w:rsidP="008B5739">
            <w:pPr>
              <w:spacing w:before="40" w:after="40"/>
              <w:jc w:val="both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 w:rsidR="008202B8">
              <w:rPr>
                <w:rFonts w:ascii="Montserrat" w:hAnsi="Montserrat"/>
                <w:sz w:val="22"/>
                <w:szCs w:val="22"/>
                <w:lang w:eastAsia="es-MX"/>
              </w:rPr>
              <w:t>I.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30</w:t>
            </w:r>
            <w:r w:rsidR="00A16DF7">
              <w:rPr>
                <w:rFonts w:ascii="Montserrat" w:hAnsi="Montserrat"/>
                <w:sz w:val="22"/>
                <w:szCs w:val="22"/>
                <w:lang w:eastAsia="es-MX"/>
              </w:rPr>
              <w:t>.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2</w:t>
            </w:r>
            <w:r w:rsidR="008202B8">
              <w:rPr>
                <w:rFonts w:ascii="Montserrat" w:hAnsi="Montserrat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Reporte MIR Pp F002</w:t>
            </w:r>
          </w:p>
        </w:tc>
      </w:tr>
    </w:tbl>
    <w:p w14:paraId="2DCC2C5A" w14:textId="20B928CE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4437F236" w14:textId="77777777" w:rsidR="00101315" w:rsidRDefault="00101315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3153E5CC" w:rsidR="00127377" w:rsidRDefault="00101315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  <w:r>
        <w:rPr>
          <w:rFonts w:ascii="Montserrat" w:hAnsi="Montserrat"/>
          <w:b/>
          <w:color w:val="000000" w:themeColor="text1"/>
          <w:sz w:val="22"/>
          <w:szCs w:val="22"/>
        </w:rPr>
        <w:br/>
      </w: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08305089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2A2DD200" w14:textId="77777777" w:rsidR="008B5739" w:rsidRDefault="008B5739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7B413CDE" w14:textId="2EA472A9" w:rsidR="008B5739" w:rsidRDefault="008B5739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Especializado de Crédito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365FDC30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55C557B6" w14:textId="77777777" w:rsidR="008B5739" w:rsidRDefault="008B5739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66AE0ADB" w:rsidR="008B5739" w:rsidRDefault="008B5739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8E08EE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CAAB5A" w14:textId="77777777" w:rsidR="00446CB1" w:rsidRDefault="00446CB1" w:rsidP="00655507">
      <w:pPr>
        <w:jc w:val="both"/>
        <w:rPr>
          <w:rFonts w:ascii="Montserrat" w:hAnsi="Montserrat"/>
          <w:color w:val="000000"/>
          <w:sz w:val="18"/>
          <w:szCs w:val="18"/>
          <w:shd w:val="clear" w:color="auto" w:fill="FFFFFF"/>
        </w:rPr>
      </w:pPr>
    </w:p>
    <w:p w14:paraId="19306427" w14:textId="11AE0EFF" w:rsidR="00AB5BE2" w:rsidRDefault="00655507" w:rsidP="003F67FF">
      <w:pPr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 xml:space="preserve">quedando prohibida su difusión, transmisión, alteración, explotación, impresión o copia. Por lo que la entrega de la información a una autoridad diversa queda sujeta a consideración del destinatario sin responsabilidad de este Fideicomiso de Fomento Minero. </w:t>
      </w:r>
    </w:p>
    <w:sectPr w:rsidR="00AB5BE2" w:rsidSect="00171FCB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649F" w14:textId="77777777" w:rsidR="00171FCB" w:rsidRDefault="00171FCB" w:rsidP="00F630B5">
      <w:r>
        <w:separator/>
      </w:r>
    </w:p>
  </w:endnote>
  <w:endnote w:type="continuationSeparator" w:id="0">
    <w:p w14:paraId="6DF35357" w14:textId="77777777" w:rsidR="00171FCB" w:rsidRDefault="00171FCB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09B6" w14:textId="77777777" w:rsidR="00171FCB" w:rsidRDefault="00171FCB" w:rsidP="00F630B5">
      <w:r>
        <w:separator/>
      </w:r>
    </w:p>
  </w:footnote>
  <w:footnote w:type="continuationSeparator" w:id="0">
    <w:p w14:paraId="5E556FFC" w14:textId="77777777" w:rsidR="00171FCB" w:rsidRDefault="00171FCB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3E043514" w14:textId="02E09D7C" w:rsidR="00CB2E1F" w:rsidRPr="00F2436D" w:rsidRDefault="00752525" w:rsidP="003F67FF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>OAED/DGADDE/044/2024 de fecha 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101315"/>
    <w:rsid w:val="001041AD"/>
    <w:rsid w:val="0010510E"/>
    <w:rsid w:val="00127377"/>
    <w:rsid w:val="00134C23"/>
    <w:rsid w:val="00135570"/>
    <w:rsid w:val="001414D5"/>
    <w:rsid w:val="00147D7A"/>
    <w:rsid w:val="00171FCB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F06FC"/>
    <w:rsid w:val="003F4876"/>
    <w:rsid w:val="003F67FF"/>
    <w:rsid w:val="00412FDB"/>
    <w:rsid w:val="00427DD7"/>
    <w:rsid w:val="00430292"/>
    <w:rsid w:val="0043482D"/>
    <w:rsid w:val="00442A2B"/>
    <w:rsid w:val="00446CB1"/>
    <w:rsid w:val="0046642B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20A8"/>
    <w:rsid w:val="005327E5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72213"/>
    <w:rsid w:val="008924E3"/>
    <w:rsid w:val="00892B2E"/>
    <w:rsid w:val="008A2C88"/>
    <w:rsid w:val="008A4181"/>
    <w:rsid w:val="008B21DC"/>
    <w:rsid w:val="008B5739"/>
    <w:rsid w:val="008E08EE"/>
    <w:rsid w:val="008E296A"/>
    <w:rsid w:val="009255D5"/>
    <w:rsid w:val="009278A0"/>
    <w:rsid w:val="00931C97"/>
    <w:rsid w:val="009355E6"/>
    <w:rsid w:val="009633CF"/>
    <w:rsid w:val="0096666B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B5BE2"/>
    <w:rsid w:val="00AB5FB6"/>
    <w:rsid w:val="00AC42CE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E37EA"/>
    <w:rsid w:val="00BF5703"/>
    <w:rsid w:val="00C20900"/>
    <w:rsid w:val="00C471B6"/>
    <w:rsid w:val="00C7081D"/>
    <w:rsid w:val="00C846DE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  <w:style w:type="character" w:customStyle="1" w:styleId="normaltextrun">
    <w:name w:val="normaltextrun"/>
    <w:basedOn w:val="Fuentedeprrafopredeter"/>
    <w:rsid w:val="008B5739"/>
  </w:style>
  <w:style w:type="character" w:customStyle="1" w:styleId="eop">
    <w:name w:val="eop"/>
    <w:basedOn w:val="Fuentedeprrafopredeter"/>
    <w:rsid w:val="008B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4</cp:revision>
  <cp:lastPrinted>2021-10-01T15:14:00Z</cp:lastPrinted>
  <dcterms:created xsi:type="dcterms:W3CDTF">2024-03-08T18:14:00Z</dcterms:created>
  <dcterms:modified xsi:type="dcterms:W3CDTF">2024-03-13T23:56:00Z</dcterms:modified>
</cp:coreProperties>
</file>